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189</w:t>
      </w:r>
    </w:p>
    <w:p>
      <w:r>
        <w:t>Bundesgericht (BGE), 1970-04-29, FR</w:t>
      </w:r>
    </w:p>
    <w:p>
      <w:r>
        <w:rPr>
          <w:b/>
        </w:rPr>
        <w:t xml:space="preserve">Quelle: </w:t>
      </w:r>
      <w:r>
        <w:t>https://mcp.opencaselaw.ch/entscheid/bge_96 I 189</w:t>
      </w:r>
    </w:p>
    <w:p>
      <w:r>
        <w:t>FR: ATF 96 I 189</w:t>
      </w:r>
    </w:p>
    <w:p>
      <w:r>
        <w:t>IT: DTF 96 I 189</w:t>
      </w:r>
    </w:p>
    <w:p>
      <w:pPr>
        <w:pStyle w:val="Heading2"/>
      </w:pPr>
      <w:r>
        <w:t>Regeste</w:t>
      </w:r>
    </w:p>
    <w:p>
      <w:r>
        <w:t>Regeste Starkstromleitung. Enteignung des Bodens, über den sie führt (Art. 43 und 50 ElG). Mangels einer Einigung über die Höhe der Entschädigung ist das Expropriationsrecht durch die Verwaltungsbehörde zu erteilen, selbst wenn der betroffene Grundeigentümer gegen die Expropriation als solche nichts eingewendet hat.</w:t>
      </w:r>
    </w:p>
    <w:p>
      <w:pPr>
        <w:pStyle w:val="Heading2"/>
      </w:pPr>
      <w:r>
        <w:t>Erwägungen</w:t>
      </w:r>
    </w:p>
    <w:p>
      <w:r>
        <w:rPr>
          <w:b/>
        </w:rPr>
        <w:t>E. 1</w:t>
      </w:r>
    </w:p>
    <w:p>
      <w:r>
        <w:t>Le Tribunal fédéral ne peut aller au-delà des conclusions des parties (art. 114 al. 1 OJ; 84 al. 2 LEx). Cette règle ne s'applique qu'au fond du litige. Les conditions formelles de validité et de régularité de la procédure doivent au contraire être examinées d'office (GULDENER, Schweiz. Zivilprozessrecht, p. 145).</w:t>
      </w:r>
    </w:p>
    <w:p>
      <w:r>
        <w:rPr>
          <w:b/>
        </w:rPr>
        <w:t>E. 2</w:t>
      </w:r>
    </w:p>
    <w:p>
      <w:r>
        <w:t>Pour que la procédure d'expropriation soit régulière, la partie expropriante doit avoir obtenu le droit d'expropriation. Les établissements de la Confédération l'obtiennent par décision du Conseil fédéral, les tiers, par une loi fédérale ou un arrêté fédéral (art. 3 LEx). En vertu de l'art. 43 LIE, le Conseil fédéral peut accorder le droit d'expropriation aux propriétaires d'entreprises électriques à fort courant pour les installations de transport et de distribution d'énergie électrique. L'octroi de ce droit a lieu selon une procédure particulière. Le propriétaire de l'installation de transport d'énergie commence par introduire la procédure d'expropriation, sans avoir obtenu le droit d'exproprier, et la poursuit jusqu'à l'audience de conciliation. Si les parties s'entendent, tant sur le principe de la cession du droit que sur l'indemnité, la procédure est close. En revanche, s'il est formé opposition ou si les parties ne parviennent pas à se mettre d'accord sur l'indemnité, la procédure ne peut être poursuivie qu'après l'octroi du droit d'expropriation par le Conseil fédéral ou le Département délégataire de cette compétence (art. 43 et 50 LIE; HESS, Das Enteignungsrecht des Bundes, p. 11, no 15 et 16, p. 386 notamment no 9 et 10). L'accord des parties sur le principe de l'expropriation ne dispense pas de saisir l'autorité administrative. Aussi bien l'art. 50 al. 2 LIE réserve-t-il la décision du Conseil fédéral même en l'absence d'opposition (cf. HESS, ibid., p. 387 no 12 et p. 388 no 16). L'octroi du droit d'expropriation par le Conseil fédéral - ou, en l'absence d'opposition, par le Département des transports et communications et de l'énergie - n'est pas une vaine formalité, mais un acte de puissance publique nécessaire. Il incombe en effet à l'autorité administrative de statuer sur la nécessité de l'expropriation, ainsi que sur la mesure et la durée de l'atteinte à porter aux droits des expropriés. Sur tous ces points, elle n'est pas liée par les conclusions des parties. En l'espèce BGE 96 I 189 S. 192 précisément, il ne paraît pas impossible que le droit d'expropriation ne soit pas accordé pour une servitude d'interdiction de bâtir, mais que seule une restriction du droit de bâtir soit admise. L'art. 110 de l'ordonnance du Conseil fédéral du 7 juillet 1933 sur l'établissement, l'exploitation et l'entretien des installations électriques à fort courant n'exclut pas absolument pareille possibilité.</w:t>
      </w:r>
    </w:p>
    <w:p>
      <w:r>
        <w:rPr>
          <w:b/>
        </w:rPr>
        <w:t>E. 3</w:t>
      </w:r>
    </w:p>
    <w:p>
      <w:r>
        <w:t>L'autorité administrative n'ayant pas accordé le droit d'expropriation, la procédure qui s'est déroulée devant la Commission d'estimation après l'échec de la tentative de conciliation ne déploie aucun effet juridique. La servitude constituée par la décision attaquée ne peut être inscrite au registre foncier et l'indemnité allouée n'est pas susceptible d'exécution forcée en vertu de l'art. 80 LP. Cela étant, le Tribunal fédéral ne peut entrer en matière sur les conclusions des parties. La décision attaquée doit être annulée, de même que toute la procédure qui l'a précédée dès l'audience de conciliation, la Commission d'estimation étant invitée à transmettre le dossier au Département compétent pour décision sur l'octroi du droit d'expropriation.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